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A7" w:rsidRDefault="000232BD">
      <w:pPr>
        <w:rPr>
          <w:b/>
          <w:bCs/>
        </w:rPr>
      </w:pPr>
      <w:r w:rsidRPr="250AE766">
        <w:rPr>
          <w:b/>
          <w:bCs/>
        </w:rPr>
        <w:t>2021Z02174</w:t>
      </w:r>
      <w:r w:rsidRPr="250AE766">
        <w:rPr>
          <w:b/>
          <w:bCs/>
        </w:rPr>
        <w:br/>
      </w:r>
    </w:p>
    <w:p w:rsidR="007177A7" w:rsidRDefault="000232BD">
      <w:pPr>
        <w:rPr>
          <w:b/>
          <w:bCs/>
        </w:rPr>
      </w:pPr>
      <w:r>
        <w:t>(ingezonden 3 februari 2021)</w:t>
      </w:r>
      <w:r>
        <w:br/>
      </w:r>
    </w:p>
    <w:p w:rsidR="007177A7" w:rsidRDefault="000232BD">
      <w:r>
        <w:t xml:space="preserve">Vragen van de leden Snels en </w:t>
      </w:r>
      <w:proofErr w:type="spellStart"/>
      <w:r>
        <w:t>Bromet</w:t>
      </w:r>
      <w:proofErr w:type="spellEnd"/>
      <w:r>
        <w:t xml:space="preserve"> (beiden GroenLinks) aan de ministers van Financiën en van Landbouw, Natuur en Voedselkwaliteit over de schuldbekentenis van de Rabobank</w:t>
      </w:r>
      <w:r>
        <w:br/>
      </w:r>
    </w:p>
    <w:p w:rsidR="007177A7" w:rsidRDefault="000232BD">
      <w:r>
        <w:t>Vraag 1</w:t>
      </w:r>
      <w:r>
        <w:br/>
      </w:r>
    </w:p>
    <w:p w:rsidR="007177A7" w:rsidRDefault="000232BD">
      <w:r>
        <w:t>Bent u bekend met de inhoud van de uitzending van Zembla van 28 januari 2021?</w:t>
      </w:r>
      <w:r>
        <w:br/>
      </w:r>
    </w:p>
    <w:p w:rsidR="007177A7" w:rsidRDefault="000232BD">
      <w:r>
        <w:t>Vraag 2</w:t>
      </w:r>
      <w:r>
        <w:br/>
      </w:r>
    </w:p>
    <w:p w:rsidR="007177A7" w:rsidRDefault="000232BD">
      <w:r>
        <w:t>Wat is, in aanvulling op uw eerdere uiteenzetting over de feitelijke werking van de aanpak van leningen in de agrarische sector 1), uw reactie op de schuldbekentenis va</w:t>
      </w:r>
      <w:r>
        <w:t>n de Rabobank in de in vraag 1 genoemde uitzending?</w:t>
      </w:r>
      <w:r>
        <w:br/>
      </w:r>
    </w:p>
    <w:p w:rsidR="007177A7" w:rsidRDefault="000232BD">
      <w:r>
        <w:t>Vraag 3</w:t>
      </w:r>
      <w:r>
        <w:br/>
      </w:r>
    </w:p>
    <w:p w:rsidR="007177A7" w:rsidRDefault="000232BD">
      <w:r>
        <w:t>In hoeverre vindt u dat financiële instellingen die veel landbouwfinancieringen hebben daadwerkelijk medeverantwoordelijk zijn voor de huidige problemen met betrekking tot verduurzaming in de la</w:t>
      </w:r>
      <w:r>
        <w:t>ndbouw?</w:t>
      </w:r>
      <w:r>
        <w:br/>
      </w:r>
    </w:p>
    <w:p w:rsidR="007177A7" w:rsidRDefault="000232BD">
      <w:r>
        <w:t>Vraag 4</w:t>
      </w:r>
      <w:r>
        <w:br/>
      </w:r>
    </w:p>
    <w:p w:rsidR="007177A7" w:rsidRDefault="000232BD">
      <w:r>
        <w:t>Deelt u de mening dat financiële instellingen die niet-duurzame schaalvergroting in de landbouw hebben gefinancierd, hun klanten onvoldoende hebben geïnformeerd over de bijbehorende transitierisico’s? Zo ja, waarom? Zo nee, waarom niet?</w:t>
      </w:r>
      <w:r>
        <w:br/>
      </w:r>
    </w:p>
    <w:p w:rsidR="007177A7" w:rsidRDefault="000232BD">
      <w:r>
        <w:t>Vraag 5</w:t>
      </w:r>
      <w:r>
        <w:br/>
      </w:r>
    </w:p>
    <w:p w:rsidR="007177A7" w:rsidRDefault="000232BD">
      <w:r>
        <w:t>Bent u in algemene zin van mening dat financiële instellingen die hun klanten onvoldoende informeren over fysieke en transitierisico’s tekortschieten in hun zorgplicht? Wat zijn daar de implicaties van?</w:t>
      </w:r>
      <w:r>
        <w:br/>
      </w:r>
    </w:p>
    <w:p w:rsidR="007177A7" w:rsidRDefault="000232BD">
      <w:r>
        <w:t>Vraag 6</w:t>
      </w:r>
      <w:r>
        <w:br/>
      </w:r>
    </w:p>
    <w:p w:rsidR="007177A7" w:rsidRDefault="000232BD">
      <w:r>
        <w:t>Vindt u dat financiële instellinge</w:t>
      </w:r>
      <w:r>
        <w:t xml:space="preserve">n die proactief niet-duurzame systemen financieren verzaken hun verantwoordelijkheid voor de samenleving te nemen, zoals wel geboden wordt via de </w:t>
      </w:r>
      <w:proofErr w:type="spellStart"/>
      <w:r>
        <w:t>bankierseed</w:t>
      </w:r>
      <w:proofErr w:type="spellEnd"/>
      <w:r>
        <w:t>? Wat zijn hiervan de implicaties?</w:t>
      </w:r>
      <w:r>
        <w:br/>
      </w:r>
    </w:p>
    <w:p w:rsidR="007177A7" w:rsidRDefault="000232BD">
      <w:r>
        <w:t>Vraag 7</w:t>
      </w:r>
      <w:r>
        <w:br/>
      </w:r>
    </w:p>
    <w:p w:rsidR="007177A7" w:rsidRDefault="000232BD">
      <w:r>
        <w:t xml:space="preserve">Vindt u dat financiers medeverantwoordelijk zijn voor </w:t>
      </w:r>
      <w:r>
        <w:t xml:space="preserve">de geleden schade op het moment dat agrarische ondernemers een boete krijgen voor een teveel aan uitgestoten stikstof? Kunt u dit </w:t>
      </w:r>
      <w:r>
        <w:lastRenderedPageBreak/>
        <w:t>toelichten?</w:t>
      </w:r>
      <w:r>
        <w:br/>
      </w:r>
    </w:p>
    <w:p w:rsidR="007177A7" w:rsidRDefault="000232BD">
      <w:r>
        <w:t>Vraag 8</w:t>
      </w:r>
      <w:r>
        <w:br/>
      </w:r>
    </w:p>
    <w:p w:rsidR="007177A7" w:rsidRDefault="000232BD">
      <w:r>
        <w:t>Bent u bereid om, in aanvulling op initiatieven om de financiële sector daadwerkelijk te verduurzamen, a</w:t>
      </w:r>
      <w:r>
        <w:t>ndere financiële instellingen op te roepen om ook hun verantwoordelijkheid te erkennen voor het mede mogelijk maken van niet duurzame systemen, in de voedselketen of in bijvoorbeeld de fossiele energiesector? Zo ja, waarom? Zo nee, waarom niet?</w:t>
      </w:r>
      <w:r>
        <w:br/>
      </w:r>
    </w:p>
    <w:p w:rsidR="007177A7" w:rsidRDefault="000232BD">
      <w:r>
        <w:t>Vraag 9</w:t>
      </w:r>
      <w:r>
        <w:br/>
      </w:r>
    </w:p>
    <w:p w:rsidR="007177A7" w:rsidRDefault="000232BD">
      <w:r>
        <w:t>H</w:t>
      </w:r>
      <w:r>
        <w:t xml:space="preserve">eeft u in het afgelopen jaar op enig moment met de president van DNB gesproken over transitierisico’s in de Nederlandse landbouw in brede zin, onder andere in het licht van het deze zomer verschenen onderzoek van DNB en het Planbureau voor de Leefomgeving </w:t>
      </w:r>
      <w:r>
        <w:t>(PBL)? 2) Kunt u dit toelichten?</w:t>
      </w:r>
      <w:r>
        <w:br/>
      </w:r>
    </w:p>
    <w:p w:rsidR="007177A7" w:rsidRDefault="000232BD">
      <w:r>
        <w:t>Vraag 10</w:t>
      </w:r>
      <w:r>
        <w:br/>
      </w:r>
    </w:p>
    <w:p w:rsidR="007177A7" w:rsidRDefault="000232BD">
      <w:r>
        <w:t>Wat is uw reactie op de zorgen van boeren die willen verduurzamen en over willen stappen naar kringlooplandbouw maar hierin niet gedegen worden gefaciliteerd door hun financier?</w:t>
      </w:r>
      <w:r>
        <w:br/>
      </w:r>
    </w:p>
    <w:p w:rsidR="007177A7" w:rsidRDefault="000232BD">
      <w:r>
        <w:t>Vraag 11</w:t>
      </w:r>
      <w:r>
        <w:br/>
      </w:r>
    </w:p>
    <w:p w:rsidR="007177A7" w:rsidRDefault="000232BD">
      <w:r>
        <w:t>Heeft u zicht op de oor</w:t>
      </w:r>
      <w:r>
        <w:t>zaken van het probleem dat agrarische ondernemers met duurzame en dierenwelzijnsambities hier door hun financier te weinig in gefaciliteerd worden? Kunt u dit toelichten?</w:t>
      </w:r>
      <w:r>
        <w:br/>
      </w:r>
    </w:p>
    <w:p w:rsidR="007177A7" w:rsidRDefault="000232BD">
      <w:r>
        <w:t>Vraag 12</w:t>
      </w:r>
      <w:r>
        <w:br/>
      </w:r>
    </w:p>
    <w:p w:rsidR="007177A7" w:rsidRDefault="000232BD">
      <w:r>
        <w:t>Bent u van mening dat de huidige overheidsinstrumenten agrarische ondernem</w:t>
      </w:r>
      <w:r>
        <w:t>ers die willen verduurzamen, zoals geïnterviewd in Zembla, maximaal ondersteunen om deze stap te maken? Welke ruimte ziet u op dit punt?</w:t>
      </w:r>
      <w:r>
        <w:br/>
      </w:r>
    </w:p>
    <w:p w:rsidR="007177A7" w:rsidRDefault="000232BD">
      <w:r>
        <w:t>Vraag 13</w:t>
      </w:r>
      <w:r>
        <w:br/>
      </w:r>
    </w:p>
    <w:p w:rsidR="007177A7" w:rsidRDefault="000232BD">
      <w:r>
        <w:t>Bent u bereid additionele overheidsinstrumenten in te zetten om de knelpunten voor de financiering van de ve</w:t>
      </w:r>
      <w:r>
        <w:t>rduurzaming van de landbouw weg te nemen? Zo ja, kunt u dit toelichten? Zo nee, waarom niet?</w:t>
      </w:r>
      <w:r>
        <w:br/>
      </w:r>
    </w:p>
    <w:p w:rsidR="007177A7" w:rsidRDefault="000232BD">
      <w:r>
        <w:t>Vraag 14</w:t>
      </w:r>
      <w:r>
        <w:br/>
      </w:r>
    </w:p>
    <w:p w:rsidR="007177A7" w:rsidRDefault="000232BD">
      <w:r>
        <w:t>Kunt u voorgaande vragen één voor één binnen drie weken beantwoorden?</w:t>
      </w:r>
      <w:r>
        <w:br/>
      </w:r>
    </w:p>
    <w:p w:rsidR="007177A7" w:rsidRDefault="000232BD">
      <w:r>
        <w:t> </w:t>
      </w:r>
      <w:r>
        <w:br/>
      </w:r>
    </w:p>
    <w:p w:rsidR="007177A7" w:rsidRDefault="000232BD">
      <w:r>
        <w:lastRenderedPageBreak/>
        <w:t>1) Kamerstuk 32013, nr. 227. </w:t>
      </w:r>
      <w:r>
        <w:br/>
      </w:r>
    </w:p>
    <w:p w:rsidR="007177A7" w:rsidRDefault="000232BD">
      <w:r>
        <w:t>2</w:t>
      </w:r>
      <w:bookmarkStart w:id="0" w:name="_GoBack"/>
      <w:bookmarkEnd w:id="0"/>
      <w:r>
        <w:t>) DNB en PBL (2020), Biodiversiteit en de financiële sector: een kruisbestuiving?. </w:t>
      </w:r>
      <w:r>
        <w:br/>
      </w:r>
    </w:p>
    <w:sectPr w:rsidR="00717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19B5"/>
    <w:multiLevelType w:val="hybridMultilevel"/>
    <w:tmpl w:val="C5584BDC"/>
    <w:lvl w:ilvl="0" w:tplc="BB80CFE6">
      <w:start w:val="1"/>
      <w:numFmt w:val="bullet"/>
      <w:lvlText w:val=""/>
      <w:lvlJc w:val="left"/>
      <w:pPr>
        <w:ind w:left="720" w:hanging="360"/>
      </w:pPr>
      <w:rPr>
        <w:rFonts w:ascii="Symbol" w:hAnsi="Symbol" w:hint="default"/>
      </w:rPr>
    </w:lvl>
    <w:lvl w:ilvl="1" w:tplc="1F7890A4">
      <w:start w:val="1"/>
      <w:numFmt w:val="bullet"/>
      <w:lvlText w:val="o"/>
      <w:lvlJc w:val="left"/>
      <w:pPr>
        <w:ind w:left="1440" w:hanging="360"/>
      </w:pPr>
      <w:rPr>
        <w:rFonts w:ascii="Courier New" w:hAnsi="Courier New" w:hint="default"/>
      </w:rPr>
    </w:lvl>
    <w:lvl w:ilvl="2" w:tplc="81C4B648">
      <w:start w:val="1"/>
      <w:numFmt w:val="bullet"/>
      <w:lvlText w:val=""/>
      <w:lvlJc w:val="left"/>
      <w:pPr>
        <w:ind w:left="2160" w:hanging="360"/>
      </w:pPr>
      <w:rPr>
        <w:rFonts w:ascii="Wingdings" w:hAnsi="Wingdings" w:hint="default"/>
      </w:rPr>
    </w:lvl>
    <w:lvl w:ilvl="3" w:tplc="599050C8">
      <w:start w:val="1"/>
      <w:numFmt w:val="bullet"/>
      <w:lvlText w:val=""/>
      <w:lvlJc w:val="left"/>
      <w:pPr>
        <w:ind w:left="2880" w:hanging="360"/>
      </w:pPr>
      <w:rPr>
        <w:rFonts w:ascii="Symbol" w:hAnsi="Symbol" w:hint="default"/>
      </w:rPr>
    </w:lvl>
    <w:lvl w:ilvl="4" w:tplc="595EC3C0">
      <w:start w:val="1"/>
      <w:numFmt w:val="bullet"/>
      <w:lvlText w:val="o"/>
      <w:lvlJc w:val="left"/>
      <w:pPr>
        <w:ind w:left="3600" w:hanging="360"/>
      </w:pPr>
      <w:rPr>
        <w:rFonts w:ascii="Courier New" w:hAnsi="Courier New" w:hint="default"/>
      </w:rPr>
    </w:lvl>
    <w:lvl w:ilvl="5" w:tplc="56EE3CF8">
      <w:start w:val="1"/>
      <w:numFmt w:val="bullet"/>
      <w:lvlText w:val=""/>
      <w:lvlJc w:val="left"/>
      <w:pPr>
        <w:ind w:left="4320" w:hanging="360"/>
      </w:pPr>
      <w:rPr>
        <w:rFonts w:ascii="Wingdings" w:hAnsi="Wingdings" w:hint="default"/>
      </w:rPr>
    </w:lvl>
    <w:lvl w:ilvl="6" w:tplc="5C4C28C4">
      <w:start w:val="1"/>
      <w:numFmt w:val="bullet"/>
      <w:lvlText w:val=""/>
      <w:lvlJc w:val="left"/>
      <w:pPr>
        <w:ind w:left="5040" w:hanging="360"/>
      </w:pPr>
      <w:rPr>
        <w:rFonts w:ascii="Symbol" w:hAnsi="Symbol" w:hint="default"/>
      </w:rPr>
    </w:lvl>
    <w:lvl w:ilvl="7" w:tplc="69B81C32">
      <w:start w:val="1"/>
      <w:numFmt w:val="bullet"/>
      <w:lvlText w:val="o"/>
      <w:lvlJc w:val="left"/>
      <w:pPr>
        <w:ind w:left="5760" w:hanging="360"/>
      </w:pPr>
      <w:rPr>
        <w:rFonts w:ascii="Courier New" w:hAnsi="Courier New" w:hint="default"/>
      </w:rPr>
    </w:lvl>
    <w:lvl w:ilvl="8" w:tplc="05A4DE2A">
      <w:start w:val="1"/>
      <w:numFmt w:val="bullet"/>
      <w:lvlText w:val=""/>
      <w:lvlJc w:val="left"/>
      <w:pPr>
        <w:ind w:left="6480" w:hanging="360"/>
      </w:pPr>
      <w:rPr>
        <w:rFonts w:ascii="Wingdings" w:hAnsi="Wingdings" w:hint="default"/>
      </w:rPr>
    </w:lvl>
  </w:abstractNum>
  <w:abstractNum w:abstractNumId="1" w15:restartNumberingAfterBreak="0">
    <w:nsid w:val="697A2931"/>
    <w:multiLevelType w:val="hybridMultilevel"/>
    <w:tmpl w:val="CEFC53B6"/>
    <w:lvl w:ilvl="0" w:tplc="CA1874FA">
      <w:start w:val="1"/>
      <w:numFmt w:val="decimal"/>
      <w:lvlText w:val="%1."/>
      <w:lvlJc w:val="left"/>
      <w:pPr>
        <w:ind w:left="720" w:hanging="360"/>
      </w:pPr>
    </w:lvl>
    <w:lvl w:ilvl="1" w:tplc="1FB48FD4">
      <w:start w:val="1"/>
      <w:numFmt w:val="lowerLetter"/>
      <w:lvlText w:val="%2."/>
      <w:lvlJc w:val="left"/>
      <w:pPr>
        <w:ind w:left="1440" w:hanging="360"/>
      </w:pPr>
    </w:lvl>
    <w:lvl w:ilvl="2" w:tplc="4F3E8EF4">
      <w:start w:val="1"/>
      <w:numFmt w:val="lowerRoman"/>
      <w:lvlText w:val="%3."/>
      <w:lvlJc w:val="right"/>
      <w:pPr>
        <w:ind w:left="2160" w:hanging="180"/>
      </w:pPr>
    </w:lvl>
    <w:lvl w:ilvl="3" w:tplc="A844EDA8">
      <w:start w:val="1"/>
      <w:numFmt w:val="decimal"/>
      <w:lvlText w:val="%4."/>
      <w:lvlJc w:val="left"/>
      <w:pPr>
        <w:ind w:left="2880" w:hanging="360"/>
      </w:pPr>
    </w:lvl>
    <w:lvl w:ilvl="4" w:tplc="E0D046EA">
      <w:start w:val="1"/>
      <w:numFmt w:val="lowerLetter"/>
      <w:lvlText w:val="%5."/>
      <w:lvlJc w:val="left"/>
      <w:pPr>
        <w:ind w:left="3600" w:hanging="360"/>
      </w:pPr>
    </w:lvl>
    <w:lvl w:ilvl="5" w:tplc="123C062C">
      <w:start w:val="1"/>
      <w:numFmt w:val="lowerRoman"/>
      <w:lvlText w:val="%6."/>
      <w:lvlJc w:val="right"/>
      <w:pPr>
        <w:ind w:left="4320" w:hanging="180"/>
      </w:pPr>
    </w:lvl>
    <w:lvl w:ilvl="6" w:tplc="2BDE3E98">
      <w:start w:val="1"/>
      <w:numFmt w:val="decimal"/>
      <w:lvlText w:val="%7."/>
      <w:lvlJc w:val="left"/>
      <w:pPr>
        <w:ind w:left="5040" w:hanging="360"/>
      </w:pPr>
    </w:lvl>
    <w:lvl w:ilvl="7" w:tplc="C4440048">
      <w:start w:val="1"/>
      <w:numFmt w:val="lowerLetter"/>
      <w:lvlText w:val="%8."/>
      <w:lvlJc w:val="left"/>
      <w:pPr>
        <w:ind w:left="5760" w:hanging="360"/>
      </w:pPr>
    </w:lvl>
    <w:lvl w:ilvl="8" w:tplc="3A40342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A6"/>
    <w:rsid w:val="000232BD"/>
    <w:rsid w:val="002978F3"/>
    <w:rsid w:val="007177A7"/>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E4DA2"/>
  <w15:chartTrackingRefBased/>
  <w15:docId w15:val="{4A8C4E4F-3FD0-4B96-94C8-10EEF4E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2822</Characters>
  <Application>Microsoft Office Word</Application>
  <DocSecurity>0</DocSecurity>
  <Lines>23</Lines>
  <Paragraphs>6</Paragraphs>
  <ScaleCrop>false</ScaleCrop>
  <Company>Tweede Kamer</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Kamervragenapplicatie;OpenTBS 1.9.6</dc:creator>
  <cp:keywords/>
  <cp:lastModifiedBy>Puijenbroek, A.A.P.M. van ()</cp:lastModifiedBy>
  <cp:revision>2</cp:revision>
  <dcterms:created xsi:type="dcterms:W3CDTF">2021-02-03T12:20:00Z</dcterms:created>
  <dcterms:modified xsi:type="dcterms:W3CDTF">2021-02-03T12:21:00Z</dcterms:modified>
</cp:coreProperties>
</file>